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otnotes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numPr>
          <w:ilvl w:val="0"/>
          <w:numId w:val="1"/>
        </w:numPr>
        <w:bidi w:val="0"/>
        <w:spacing w:before="240" w:after="120"/>
        <w:ind w:hanging="0" w:start="0"/>
        <w:jc w:val="center"/>
        <w:rPr>
          <w:rFonts w:ascii="Open Sans" w:hAnsi="Open Sans"/>
        </w:rPr>
      </w:pPr>
      <w:r>
        <w:rPr>
          <w:rFonts w:ascii="Open Sans" w:hAnsi="Open Sans"/>
        </w:rPr>
        <w:t>Shrnutí smlouvy</w:t>
      </w:r>
    </w:p>
    <w:p>
      <w:pPr>
        <w:pStyle w:val="Seznambody"/>
        <w:numPr>
          <w:ilvl w:val="0"/>
          <w:numId w:val="2"/>
        </w:numPr>
        <w:bidi w:val="0"/>
        <w:jc w:val="start"/>
        <w:rPr>
          <w:rFonts w:ascii="Open Sans" w:hAnsi="Open Sans"/>
        </w:rPr>
      </w:pPr>
      <w:r>
        <w:rPr/>
        <w:t>Toto shrnutí smlouvy uvádí hlavní prvky této nabídky služeb, jak vyžadují právní předpisy EU.</w:t>
      </w:r>
      <w:r>
        <w:rPr>
          <w:rStyle w:val="FootnoteReference"/>
          <w:sz w:val="24"/>
          <w:vertAlign w:val="superscript"/>
        </w:rPr>
        <w:footnoteReference w:id="2"/>
      </w:r>
    </w:p>
    <w:p>
      <w:pPr>
        <w:pStyle w:val="Seznambody"/>
        <w:numPr>
          <w:ilvl w:val="0"/>
          <w:numId w:val="2"/>
        </w:numPr>
        <w:bidi w:val="0"/>
        <w:jc w:val="start"/>
        <w:rPr>
          <w:rFonts w:ascii="Open Sans" w:hAnsi="Open Sans"/>
        </w:rPr>
      </w:pPr>
      <w:r>
        <w:rPr/>
        <w:t xml:space="preserve">Pomáhá porovnat různé nabídky služeb. </w:t>
      </w:r>
    </w:p>
    <w:p>
      <w:pPr>
        <w:pStyle w:val="Seznambody"/>
        <w:numPr>
          <w:ilvl w:val="0"/>
          <w:numId w:val="2"/>
        </w:numPr>
        <w:bidi w:val="0"/>
        <w:jc w:val="start"/>
        <w:rPr>
          <w:rFonts w:ascii="Open Sans" w:hAnsi="Open Sans"/>
        </w:rPr>
      </w:pPr>
      <w:r>
        <w:rPr/>
        <w:t>Úplné informace o dané službě jsou obsaženy v jiných dokumentech.</w:t>
      </w:r>
    </w:p>
    <w:p>
      <w:pPr>
        <w:pStyle w:val="Heading2"/>
        <w:keepNext w:val="true"/>
        <w:numPr>
          <w:ilvl w:val="1"/>
          <w:numId w:val="1"/>
        </w:numPr>
        <w:bidi w:val="0"/>
        <w:spacing w:before="200" w:after="120"/>
        <w:ind w:hanging="0" w:start="0" w:end="0"/>
        <w:jc w:val="center"/>
        <w:rPr>
          <w:rFonts w:ascii="Open Sans" w:hAnsi="Open Sans"/>
        </w:rPr>
      </w:pPr>
      <w:r>
        <w:rPr>
          <w:rFonts w:ascii="Open Sans" w:hAnsi="Open Sans"/>
        </w:rPr>
        <w:t>Služba</w:t>
      </w:r>
    </w:p>
    <w:tbl>
      <w:tblPr>
        <w:tblW w:w="10772" w:type="dxa"/>
        <w:jc w:val="start"/>
        <w:tblInd w:w="0" w:type="dxa"/>
        <w:tblLayout w:type="fixed"/>
        <w:tblCellMar>
          <w:top w:w="28" w:type="dxa"/>
          <w:start w:w="28" w:type="dxa"/>
          <w:bottom w:w="28" w:type="dxa"/>
          <w:end w:w="28" w:type="dxa"/>
        </w:tblCellMar>
      </w:tblPr>
      <w:tblGrid>
        <w:gridCol w:w="6803"/>
        <w:gridCol w:w="3968"/>
      </w:tblGrid>
      <w:tr>
        <w:trPr/>
        <w:tc>
          <w:tcPr>
            <w:tcW w:w="680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start"/>
              <w:rPr>
                <w:b/>
                <w:bCs/>
              </w:rPr>
            </w:pPr>
            <w:r>
              <w:rPr>
                <w:rFonts w:ascii="Open Sans" w:hAnsi="Open Sans"/>
                <w:b/>
                <w:bCs/>
              </w:rPr>
              <w:t>Služba přístupu k internetu v pevném místě s názvem:</w:t>
            </w:r>
          </w:p>
        </w:tc>
        <w:tc>
          <w:tcPr>
            <w:tcW w:w="396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Obsahtabulky"/>
              <w:bidi w:val="0"/>
              <w:jc w:val="start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$NAZEV_SLUZBY$</w:t>
            </w:r>
          </w:p>
        </w:tc>
      </w:tr>
    </w:tbl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w:rPr>
          <w:rFonts w:ascii="Open Sans" w:hAnsi="Open Sans"/>
        </w:rPr>
        <w:t>Rychlost služby přístupu k internetu</w:t>
      </w:r>
    </w:p>
    <w:tbl>
      <w:tblPr>
        <w:tblW w:w="5000" w:type="pct"/>
        <w:jc w:val="start"/>
        <w:tblInd w:w="0" w:type="dxa"/>
        <w:tblLayout w:type="fixed"/>
        <w:tblCellMar>
          <w:top w:w="28" w:type="dxa"/>
          <w:start w:w="28" w:type="dxa"/>
          <w:bottom w:w="28" w:type="dxa"/>
          <w:end w:w="28" w:type="dxa"/>
        </w:tblCellMar>
      </w:tblPr>
      <w:tblGrid>
        <w:gridCol w:w="3590"/>
        <w:gridCol w:w="3591"/>
        <w:gridCol w:w="3591"/>
      </w:tblGrid>
      <w:tr>
        <w:trPr/>
        <w:tc>
          <w:tcPr>
            <w:tcW w:w="359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</w:r>
          </w:p>
        </w:tc>
        <w:tc>
          <w:tcPr>
            <w:tcW w:w="359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  <w:b/>
                <w:bCs/>
              </w:rPr>
              <w:t>Download</w:t>
            </w:r>
            <w:r>
              <w:rPr>
                <w:rFonts w:ascii="Open Sans" w:hAnsi="Open Sans"/>
              </w:rPr>
              <w:t xml:space="preserve"> (stahování)</w:t>
            </w:r>
          </w:p>
        </w:tc>
        <w:tc>
          <w:tcPr>
            <w:tcW w:w="359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  <w:b/>
                <w:bCs/>
              </w:rPr>
              <w:t>Upload</w:t>
            </w:r>
            <w:r>
              <w:rPr>
                <w:rFonts w:ascii="Open Sans" w:hAnsi="Open Sans"/>
              </w:rPr>
              <w:t xml:space="preserve"> (nahrávání)</w:t>
            </w:r>
          </w:p>
        </w:tc>
      </w:tr>
      <w:tr>
        <w:trPr/>
        <w:tc>
          <w:tcPr>
            <w:tcW w:w="3590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start"/>
              <w:rPr>
                <w:b/>
                <w:bCs/>
              </w:rPr>
            </w:pPr>
            <w:r>
              <w:rPr>
                <w:rFonts w:ascii="Open Sans" w:hAnsi="Open Sans"/>
                <w:b/>
                <w:bCs/>
              </w:rPr>
              <w:t>Minimální rychlost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$DOWNLOAD30P_MBPS$ Mb/s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$UPLOAD30P_MBPS$ Mb/s</w:t>
            </w:r>
          </w:p>
        </w:tc>
      </w:tr>
      <w:tr>
        <w:trPr/>
        <w:tc>
          <w:tcPr>
            <w:tcW w:w="3590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start"/>
              <w:rPr>
                <w:b/>
                <w:bCs/>
              </w:rPr>
            </w:pPr>
            <w:r>
              <w:rPr>
                <w:rFonts w:ascii="Open Sans" w:hAnsi="Open Sans"/>
                <w:b/>
                <w:bCs/>
              </w:rPr>
              <w:t>Běžně dostupná rychlost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$DOWNLOAD60P_MBPS$ Mb/s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$UPLOAD60P_MBPS$ Mb/s</w:t>
            </w:r>
          </w:p>
        </w:tc>
      </w:tr>
      <w:tr>
        <w:trPr/>
        <w:tc>
          <w:tcPr>
            <w:tcW w:w="3590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start"/>
              <w:rPr>
                <w:b/>
                <w:bCs/>
              </w:rPr>
            </w:pPr>
            <w:r>
              <w:rPr>
                <w:rFonts w:ascii="Open Sans" w:hAnsi="Open Sans"/>
                <w:b/>
                <w:bCs/>
              </w:rPr>
              <w:t>Maximální rychlost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$DOWNLOAD_MBPS$ Mb/s</w:t>
            </w:r>
          </w:p>
        </w:tc>
        <w:tc>
          <w:tcPr>
            <w:tcW w:w="3591" w:type="dxa"/>
            <w:tcBorders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Obsahtabulky"/>
              <w:bidi w:val="0"/>
              <w:jc w:val="center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$UPLOAD_MBPS$ Mb/s</w:t>
            </w:r>
          </w:p>
        </w:tc>
      </w:tr>
    </w:tbl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w:rPr>
          <w:rFonts w:ascii="Open Sans" w:hAnsi="Open Sans"/>
        </w:rPr>
        <w:t>Prostředky nápravy</w:t>
      </w:r>
    </w:p>
    <w:p>
      <w:pPr>
        <w:pStyle w:val="BodyText"/>
        <w:bidi w:val="0"/>
        <w:jc w:val="start"/>
        <w:rPr>
          <w:rFonts w:ascii="Open Sans" w:hAnsi="Open Sans"/>
        </w:rPr>
      </w:pPr>
      <w:r>
        <w:rPr/>
        <w:t>Odchylka od výkonu uvedeného ve smlouvě nemá vliv na vaše právo na přístup k informacím a obsahu, jejich šíření, ani na právo využívat a poskytovat aplikace a služby. Může se však stát, že vyhledávaná informace, případně využívaná služba bude načtena pomaleji (například videa a obrázky mohou zobrazovat později).</w:t>
      </w:r>
    </w:p>
    <w:p>
      <w:pPr>
        <w:pStyle w:val="BodyText"/>
        <w:bidi w:val="0"/>
        <w:jc w:val="start"/>
        <w:rPr>
          <w:rFonts w:ascii="Open Sans" w:hAnsi="Open Sans"/>
        </w:rPr>
      </w:pPr>
      <w:r>
        <w:rPr/>
        <w:t>V případě trvalé nebo pravidelně se opakující odchylky skutečného výkonu služby přístupu k internetu od výkonu uvedeného ve smlouvě, pokud jde o rychlost nebo jiné parametry kvality služby, můžete uplatnit reklamaci dopisem zaslaným na naši adresu nebo elektronicky prostřednictvím reklamačního formuláře dostupného na www.internetovaspolecnost.cz/reklamace. V takovém případě můžete mimo jiné požadovat slevu z ceny nebo od smlouvy odstoupit, pokud jde o její podstatné porušení. Detaily najdete v článku 3 VOP.</w:t>
      </w:r>
    </w:p>
    <w:p>
      <w:pPr>
        <w:pStyle w:val="BodyText"/>
        <w:bidi w:val="0"/>
        <w:jc w:val="start"/>
        <w:rPr>
          <w:rFonts w:ascii="Open Sans" w:hAnsi="Open Sans"/>
        </w:rPr>
      </w:pPr>
      <w:r>
        <w:rPr/>
        <w:t>Nevyhovíme-li Vám, můžete podat u Českého telekomunikačního úřadu (www.ctu.cz) návrh na zahájení řízení o námitce proti vyřízení reklamace bez zbytečného odkladu, nejpozději však do 1 měsíce ode dne doručení vyřízení reklamace nebo marného uplynutí lhůty pro její vyřízení, jinak právo uplatnit námitku zanikne.</w:t>
      </w:r>
    </w:p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800225" cy="720090"/>
                <wp:effectExtent l="0" t="0" r="0" b="0"/>
                <wp:wrapNone/>
                <wp:docPr id="1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360" cy="720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Obsahrmc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start"/>
                              <w:rPr/>
                            </w:pPr>
                            <w:r>
                              <w:rPr>
                                <w:rFonts w:ascii="Open Sans" w:hAnsi="Open Sans"/>
                                <w:b/>
                                <w:bCs/>
                                <w:color w:val="000000"/>
                              </w:rPr>
                              <w:t>Datum:</w:t>
                            </w:r>
                            <w:r>
                              <w:rPr>
                                <w:rFonts w:ascii="Open Sans" w:hAnsi="Open Sans"/>
                                <w:color w:val="000000"/>
                              </w:rPr>
                              <w:t xml:space="preserve"> $DATE$</w:t>
                            </w:r>
                          </w:p>
                        </w:txbxContent>
                      </wps:txbx>
                      <wps:bodyPr lIns="0" rIns="0" tIns="0" bIns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ový rámec 1" path="m0,0l-2147483645,0l-2147483645,-2147483646l0,-2147483646xe" stroked="f" o:allowincell="f" style="position:absolute;margin-left:0pt;margin-top:635.1pt;width:141.7pt;height:56.65pt;mso-wrap-style:square;v-text-anchor:bottom;mso-position-horizontal:left;mso-position-horizontal-relative:margin;mso-position-vertical:bottom;mso-position-vertical-relative:margin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Obsahrmc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start"/>
                        <w:rPr/>
                      </w:pPr>
                      <w:r>
                        <w:rPr>
                          <w:rFonts w:ascii="Open Sans" w:hAnsi="Open Sans"/>
                          <w:b/>
                          <w:bCs/>
                          <w:color w:val="000000"/>
                        </w:rPr>
                        <w:t>Datum:</w:t>
                      </w:r>
                      <w:r>
                        <w:rPr>
                          <w:rFonts w:ascii="Open Sans" w:hAnsi="Open Sans"/>
                          <w:color w:val="000000"/>
                        </w:rPr>
                        <w:t xml:space="preserve"> $DATE$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Open Sans" w:hAnsi="Open Sans"/>
        </w:rPr>
        <w:t>Cena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5385"/>
        <w:gridCol w:w="5386"/>
      </w:tblGrid>
      <w:tr>
        <w:trPr/>
        <w:tc>
          <w:tcPr>
            <w:tcW w:w="5385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Měsíční cena za službu internet (s DPH):</w:t>
            </w:r>
          </w:p>
        </w:tc>
        <w:tc>
          <w:tcPr>
            <w:tcW w:w="5386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$CENA_S_DPH_ZAO$</w:t>
            </w:r>
          </w:p>
        </w:tc>
      </w:tr>
    </w:tbl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w:rPr>
          <w:rFonts w:ascii="Open Sans" w:hAnsi="Open Sans"/>
        </w:rPr>
        <w:t>Doba trvání, obnovení a ukončení</w:t>
      </w:r>
    </w:p>
    <w:tbl>
      <w:tblPr>
        <w:tblW w:w="5000" w:type="pct"/>
        <w:jc w:val="start"/>
        <w:tblInd w:w="0" w:type="dxa"/>
        <w:tblLayout w:type="fixed"/>
        <w:tblCellMar>
          <w:top w:w="0" w:type="dxa"/>
          <w:start w:w="0" w:type="dxa"/>
          <w:bottom w:w="0" w:type="dxa"/>
          <w:end w:w="0" w:type="dxa"/>
        </w:tblCellMar>
      </w:tblPr>
      <w:tblGrid>
        <w:gridCol w:w="5385"/>
        <w:gridCol w:w="5386"/>
      </w:tblGrid>
      <w:tr>
        <w:trPr/>
        <w:tc>
          <w:tcPr>
            <w:tcW w:w="5385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Typ smlouvy:</w:t>
            </w:r>
          </w:p>
        </w:tc>
        <w:tc>
          <w:tcPr>
            <w:tcW w:w="5386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$TYP_SMLOUVY$</w:t>
            </w:r>
          </w:p>
        </w:tc>
      </w:tr>
      <w:tr>
        <w:trPr>
          <w:trHeight w:val="357" w:hRule="atLeast"/>
        </w:trPr>
        <w:tc>
          <w:tcPr>
            <w:tcW w:w="5385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Trvání smlouvy do: \ Trvání min. úvazku do:</w:t>
            </w:r>
          </w:p>
        </w:tc>
        <w:tc>
          <w:tcPr>
            <w:tcW w:w="5386" w:type="dxa"/>
            <w:tcBorders/>
          </w:tcPr>
          <w:p>
            <w:pPr>
              <w:pStyle w:val="Obsahtabulky"/>
              <w:bidi w:val="0"/>
              <w:jc w:val="both"/>
              <w:rPr>
                <w:rFonts w:ascii="Open Sans" w:hAnsi="Open Sans"/>
              </w:rPr>
            </w:pPr>
            <w:r>
              <w:rPr>
                <w:rFonts w:ascii="Open Sans" w:hAnsi="Open Sans"/>
              </w:rPr>
              <w:t>$CONTRACT_DURATION$</w:t>
            </w:r>
          </w:p>
        </w:tc>
      </w:tr>
    </w:tbl>
    <w:p>
      <w:pPr>
        <w:pStyle w:val="BodyText"/>
        <w:bidi w:val="0"/>
        <w:jc w:val="start"/>
        <w:rPr>
          <w:rFonts w:ascii="Open Sans" w:hAnsi="Open Sans"/>
        </w:rPr>
      </w:pPr>
      <w:r>
        <w:rPr/>
        <w:t>Smlouvu můžete kdykoliv bezplatně vypovědět bez udání důvodu. Učinit tak můžete oznámením zaslaným na adresu našeho sídla nebo e-mailem zaslaným na naši e-mailovou adresu uvedenou výše. Výpovědní doba je 30 dní od doručení oznámení. Smlouvu můžete ukončit i jinými způsoby stanovenými právními předpisy.</w:t>
      </w:r>
    </w:p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w:rPr>
          <w:rFonts w:ascii="Open Sans" w:hAnsi="Open Sans"/>
        </w:rPr>
        <w:t>Funkce pro koncové uživatele se zdravotním postižením</w:t>
      </w:r>
    </w:p>
    <w:p>
      <w:pPr>
        <w:pStyle w:val="BodyText"/>
        <w:bidi w:val="0"/>
        <w:jc w:val="start"/>
        <w:rPr>
          <w:rFonts w:ascii="Open Sans" w:hAnsi="Open Sans"/>
        </w:rPr>
      </w:pPr>
      <w:r>
        <w:rPr/>
        <w:t>Speciální linka pro neslyšící je k dispozici 10–17h, kdy volání se spojí do textového hovoru, který je převeden do psané podoby. Pro nevidomé poskytovatel jeho veškeré požadavky vyřídí telefonicky na bezplatné lince. Podrobnosti jsou k dispozici v Podmínkách pro uživatele se zdravotním postižením.</w:t>
      </w:r>
    </w:p>
    <w:p>
      <w:pPr>
        <w:pStyle w:val="Heading2"/>
        <w:numPr>
          <w:ilvl w:val="1"/>
          <w:numId w:val="1"/>
        </w:numPr>
        <w:bidi w:val="0"/>
        <w:ind w:hanging="0" w:start="0"/>
        <w:rPr>
          <w:rFonts w:ascii="Open Sans" w:hAnsi="Open Sans"/>
        </w:rPr>
      </w:pPr>
      <w:r>
        <w:rPr>
          <w:rFonts w:ascii="Open Sans" w:hAnsi="Open Sans"/>
        </w:rPr>
        <w:t>Další důležité informace</w:t>
      </w:r>
    </w:p>
    <w:p>
      <w:pPr>
        <w:pStyle w:val="BodyText"/>
        <w:bidi w:val="0"/>
        <w:spacing w:before="227" w:after="227"/>
        <w:contextualSpacing/>
        <w:jc w:val="start"/>
        <w:rPr/>
      </w:pPr>
      <w:r>
        <w:rPr/>
        <w:t xml:space="preserve">Podrobné podmínky poskytování služby spolu s dalšími informacemi, jež vám musíme dle právních předpisů poskytnout předtím, než začnete být vázáni smlouvou, jsou uvedeny v našich obchodních podmínkách dostupných na </w:t>
      </w:r>
      <w:hyperlink r:id="rId2">
        <w:r>
          <w:rPr>
            <w:rStyle w:val="Hyperlink"/>
          </w:rPr>
          <w:t>www.internetovaspolecnost.cz/vop</w:t>
        </w:r>
      </w:hyperlink>
      <w:r>
        <w:rPr/>
        <w:t>.</w:t>
      </w:r>
    </w:p>
    <w:p>
      <w:pPr>
        <w:pStyle w:val="BodyText"/>
        <w:bidi w:val="0"/>
        <w:spacing w:before="227" w:after="227"/>
        <w:contextualSpacing/>
        <w:jc w:val="start"/>
        <w:rPr>
          <w:rFonts w:ascii="Open Sans" w:hAnsi="Open Sans"/>
        </w:rPr>
      </w:pPr>
      <w:r>
        <w:rPr/>
      </w:r>
    </w:p>
    <w:sectPr>
      <w:headerReference w:type="even" r:id="rId3"/>
      <w:headerReference w:type="default" r:id="rId4"/>
      <w:headerReference w:type="first" r:id="rId5"/>
      <w:footerReference w:type="even" r:id="rId6"/>
      <w:footerReference w:type="default" r:id="rId7"/>
      <w:footerReference w:type="first" r:id="rId8"/>
      <w:footnotePr>
        <w:numFmt w:val="decimal"/>
      </w:footnotePr>
      <w:type w:val="nextPage"/>
      <w:pgSz w:w="11906" w:h="16838"/>
      <w:pgMar w:left="567" w:right="567" w:gutter="0" w:header="567" w:top="1824" w:footer="567" w:bottom="117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OpenSymbol">
    <w:altName w:val="Arial Unicode MS"/>
    <w:charset w:val="ee" w:characterSet="windows-1250"/>
    <w:family w:val="roman"/>
    <w:pitch w:val="variable"/>
    <w:embedRegular r:id="rId18" w:fontKey="{12014A78-CABC-4EF0-12AC-5CD89AEFDE12}"/>
    <w:embedBold r:id="rId19" w:fontKey="{13014A78-CABC-4EF0-12AC-5CD89AEFDE13}"/>
  </w:font>
  <w:font w:name="Liberation Sans">
    <w:altName w:val="Arial"/>
    <w:charset w:val="ee" w:characterSet="windows-1250"/>
    <w:family w:val="roman"/>
    <w:pitch w:val="variable"/>
    <w:embedRegular r:id="rId20" w:fontKey="{14014A78-CABC-4EF0-12AC-5CD89AEFDE14}"/>
  </w:font>
  <w:font w:name="Open Sans">
    <w:charset w:val="ee" w:characterSet="windows-1250"/>
    <w:family w:val="roman"/>
    <w:pitch w:val="variable"/>
  </w:font>
  <w:font w:name="Tahoma">
    <w:charset w:val="ee" w:characterSet="windows-1250"/>
    <w:family w:val="roman"/>
    <w:pitch w:val="variable"/>
    <w:embedRegular r:id="rId21" w:fontKey="{15014A78-CABC-4EF0-12AC-5CD89AEFDE15}"/>
  </w:font>
  <w:font w:name="OpenSymbol">
    <w:altName w:val="Arial Unicode MS"/>
    <w:charset w:val="01"/>
    <w:family w:val="auto"/>
    <w:pitch w:val="variable"/>
    <w:embedRegular r:id="rId19" w:fontKey="{13014A78-CABC-4EF0-12AC-5CD89AEFDE13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>
        <w:rFonts w:ascii="Open Sans" w:hAnsi="Open Sans"/>
      </w:rPr>
    </w:pPr>
    <w:bookmarkStart w:id="0" w:name="PageNumWizard_FOOTER_Výchozí_styl_stránk"/>
    <w:r>
      <w:rPr>
        <w:rFonts w:ascii="Open Sans" w:hAnsi="Open Sans"/>
      </w:rPr>
      <w:fldChar w:fldCharType="begin"/>
    </w:r>
    <w:r>
      <w:rPr>
        <w:rFonts w:ascii="Open Sans" w:hAnsi="Open Sans"/>
      </w:rPr>
      <w:instrText xml:space="preserve"> PAGE </w:instrText>
    </w:r>
    <w:r>
      <w:rPr>
        <w:rFonts w:ascii="Open Sans" w:hAnsi="Open Sans"/>
      </w:rPr>
      <w:fldChar w:fldCharType="separate"/>
    </w:r>
    <w:r>
      <w:rPr>
        <w:rFonts w:ascii="Open Sans" w:hAnsi="Open Sans"/>
      </w:rPr>
      <w:t>2</w:t>
    </w:r>
    <w:r>
      <w:rPr>
        <w:rFonts w:ascii="Open Sans" w:hAnsi="Open Sans"/>
      </w:rPr>
      <w:fldChar w:fldCharType="end"/>
    </w:r>
    <w:r>
      <w:rPr>
        <w:rFonts w:ascii="Open Sans" w:hAnsi="Open Sans"/>
      </w:rPr>
      <w:t xml:space="preserve"> </w:t>
    </w:r>
    <w:r>
      <w:rPr>
        <w:rFonts w:ascii="Open Sans" w:hAnsi="Open Sans"/>
      </w:rPr>
      <w:t xml:space="preserve">/ </w:t>
    </w:r>
    <w:r>
      <w:rPr>
        <w:rFonts w:ascii="Open Sans" w:hAnsi="Open Sans"/>
      </w:rPr>
      <w:fldChar w:fldCharType="begin"/>
    </w:r>
    <w:r>
      <w:rPr>
        <w:rFonts w:ascii="Open Sans" w:hAnsi="Open Sans"/>
      </w:rPr>
      <w:instrText xml:space="preserve"> NUMPAGES </w:instrText>
    </w:r>
    <w:r>
      <w:rPr>
        <w:rFonts w:ascii="Open Sans" w:hAnsi="Open Sans"/>
      </w:rPr>
      <w:fldChar w:fldCharType="separate"/>
    </w:r>
    <w:r>
      <w:rPr>
        <w:rFonts w:ascii="Open Sans" w:hAnsi="Open Sans"/>
      </w:rPr>
      <w:t>2</w:t>
    </w:r>
    <w:r>
      <w:rPr>
        <w:rFonts w:ascii="Open Sans" w:hAnsi="Open Sans"/>
      </w:rPr>
      <w:fldChar w:fldCharType="end"/>
    </w:r>
    <w:bookmarkEnd w:id="0"/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bidi w:val="0"/>
      <w:jc w:val="center"/>
      <w:rPr>
        <w:rFonts w:ascii="Open Sans" w:hAnsi="Open Sans"/>
      </w:rPr>
    </w:pPr>
    <w:bookmarkStart w:id="1" w:name="PageNumWizard_FOOTER_Výchozí_styl_stránk"/>
    <w:r>
      <w:rPr>
        <w:rFonts w:ascii="Open Sans" w:hAnsi="Open Sans"/>
      </w:rPr>
      <w:fldChar w:fldCharType="begin"/>
    </w:r>
    <w:r>
      <w:rPr>
        <w:rFonts w:ascii="Open Sans" w:hAnsi="Open Sans"/>
      </w:rPr>
      <w:instrText xml:space="preserve"> PAGE </w:instrText>
    </w:r>
    <w:r>
      <w:rPr>
        <w:rFonts w:ascii="Open Sans" w:hAnsi="Open Sans"/>
      </w:rPr>
      <w:fldChar w:fldCharType="separate"/>
    </w:r>
    <w:r>
      <w:rPr>
        <w:rFonts w:ascii="Open Sans" w:hAnsi="Open Sans"/>
      </w:rPr>
      <w:t>2</w:t>
    </w:r>
    <w:r>
      <w:rPr>
        <w:rFonts w:ascii="Open Sans" w:hAnsi="Open Sans"/>
      </w:rPr>
      <w:fldChar w:fldCharType="end"/>
    </w:r>
    <w:r>
      <w:rPr>
        <w:rFonts w:ascii="Open Sans" w:hAnsi="Open Sans"/>
      </w:rPr>
      <w:t xml:space="preserve"> </w:t>
    </w:r>
    <w:r>
      <w:rPr>
        <w:rFonts w:ascii="Open Sans" w:hAnsi="Open Sans"/>
      </w:rPr>
      <w:t xml:space="preserve">/ </w:t>
    </w:r>
    <w:r>
      <w:rPr>
        <w:rFonts w:ascii="Open Sans" w:hAnsi="Open Sans"/>
      </w:rPr>
      <w:fldChar w:fldCharType="begin"/>
    </w:r>
    <w:r>
      <w:rPr>
        <w:rFonts w:ascii="Open Sans" w:hAnsi="Open Sans"/>
      </w:rPr>
      <w:instrText xml:space="preserve"> NUMPAGES </w:instrText>
    </w:r>
    <w:r>
      <w:rPr>
        <w:rFonts w:ascii="Open Sans" w:hAnsi="Open Sans"/>
      </w:rPr>
      <w:fldChar w:fldCharType="separate"/>
    </w:r>
    <w:r>
      <w:rPr>
        <w:rFonts w:ascii="Open Sans" w:hAnsi="Open Sans"/>
      </w:rPr>
      <w:t>2</w:t>
    </w:r>
    <w:r>
      <w:rPr>
        <w:rFonts w:ascii="Open Sans" w:hAnsi="Open Sans"/>
      </w:rPr>
      <w:fldChar w:fldCharType="end"/>
    </w:r>
    <w:bookmarkEnd w:id="1"/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suppressLineNumbers/>
        <w:bidi w:val="0"/>
        <w:ind w:hanging="340" w:start="340"/>
        <w:jc w:val="start"/>
        <w:rPr/>
      </w:pPr>
      <w:r>
        <w:rPr>
          <w:rStyle w:val="Znakypropoznmkupodarou"/>
        </w:rPr>
        <w:footnoteRef/>
      </w:r>
      <w:r>
        <w:rPr/>
        <w:tab/>
        <w:t>Ustanovení čl. 102 odst. 3 směrnice Evropského parlamentu a Rady (EU) 2018/1972 ze dne 11. prosince 2018, kterou se stanoví evropský kodex pro elektronické komunikace (</w:t>
      </w:r>
      <w:hyperlink r:id="rId1">
        <w:r>
          <w:rPr>
            <w:rStyle w:val="Hyperlink"/>
          </w:rPr>
          <w:t>Úřední věstník L 321, 17.12.2018, s. 36</w:t>
        </w:r>
      </w:hyperlink>
      <w:r>
        <w:rPr/>
        <w:t>).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772" w:type="dxa"/>
      <w:jc w:val="center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2835"/>
      <w:gridCol w:w="5098"/>
      <w:gridCol w:w="2839"/>
    </w:tblGrid>
    <w:tr>
      <w:trPr/>
      <w:tc>
        <w:tcPr>
          <w:tcW w:w="2835" w:type="dxa"/>
          <w:vMerge w:val="restart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  <w:drawing>
              <wp:anchor behindDoc="1" distT="0" distB="0" distL="0" distR="0" simplePos="0" locked="0" layoutInCell="1" allowOverlap="0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325880" cy="417195"/>
                <wp:effectExtent l="0" t="0" r="0" b="0"/>
                <wp:wrapNone/>
                <wp:docPr id="2" name="Obrázek 19 kopie 1" descr="C:\Users\Gabinka\gmarketingdesign\turbonet\logo\logo_turbonet.jpg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19 kopie 1" descr="C:\Users\Gabinka\gmarketingdesign\turbonet\logo\logo_turbonet.jpg" titl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880" cy="417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center"/>
            <w:rPr>
              <w:rFonts w:ascii="Open Sans" w:hAnsi="Open Sans" w:eastAsia="Times New Roman" w:cs="Times New Roman"/>
              <w:b/>
              <w:bCs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b/>
              <w:bCs/>
              <w:sz w:val="24"/>
              <w:szCs w:val="24"/>
            </w:rPr>
            <w:t>ŠABLONA SHRNUTÍ SMLOUVY</w:t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b/>
              <w:bCs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b/>
              <w:bCs/>
              <w:sz w:val="24"/>
              <w:szCs w:val="24"/>
            </w:rPr>
            <w:t>ISPadmin</w:t>
          </w:r>
        </w:p>
      </w:tc>
    </w:tr>
    <w:tr>
      <w:trPr/>
      <w:tc>
        <w:tcPr>
          <w:tcW w:w="2835" w:type="dxa"/>
          <w:vMerge w:val="continue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start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  <w:t>support@ispadmin.eu</w:t>
          </w:r>
        </w:p>
      </w:tc>
    </w:tr>
    <w:tr>
      <w:trPr/>
      <w:tc>
        <w:tcPr>
          <w:tcW w:w="2835" w:type="dxa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start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Style w:val="Strong"/>
              <w:rFonts w:eastAsia="Times New Roman" w:cs="Times New Roman" w:ascii="Open Sans" w:hAnsi="Open Sans"/>
              <w:b w:val="false"/>
              <w:bCs w:val="false"/>
              <w:sz w:val="24"/>
              <w:szCs w:val="24"/>
            </w:rPr>
            <w:t>00420 588 887 777</w:t>
          </w:r>
          <w:r>
            <w:rPr>
              <w:rFonts w:eastAsia="Times New Roman" w:cs="Times New Roman" w:ascii="Open Sans" w:hAnsi="Open Sans"/>
              <w:sz w:val="24"/>
              <w:szCs w:val="24"/>
            </w:rPr>
            <w:t xml:space="preserve"> </w:t>
          </w:r>
        </w:p>
      </w:tc>
    </w:tr>
  </w:tbl>
  <w:p>
    <w:pPr>
      <w:pStyle w:val="Normal"/>
      <w:bidi w:val="0"/>
      <w:jc w:val="start"/>
      <w:rPr/>
    </w:pPr>
    <w:r>
      <w:rPr/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shape_0" adj="10800" fillcolor="silver" stroked="f" o:allowincell="f" style="position:absolute;margin-left:0.1pt;margin-top:238.05pt;width:538.35pt;height:215.6pt;mso-wrap-style:none;v-text-anchor:middle;rotation:315;mso-position-horizontal:center;mso-position-horizontal-relative:margin;mso-position-vertical:center;mso-position-vertical-relative:margin" type="_x0000_t136">
          <v:path textpathok="t"/>
          <v:textpath on="t" fitshape="t" string="VZOR" style="font-family:&quot;Liberation Sans&quot;;font-size:1pt" trim="t"/>
          <v:fill o:detectmouseclick="t" type="solid" color2="#3f3f3f" opacity="0.5"/>
          <v:stroke color="#3465a4" joinstyle="round" endcap="flat"/>
          <w10:wrap type="none"/>
        </v:shape>
      </w:pic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772" w:type="dxa"/>
      <w:jc w:val="center"/>
      <w:tblInd w:w="0" w:type="dxa"/>
      <w:tblLayout w:type="fixed"/>
      <w:tblCellMar>
        <w:top w:w="0" w:type="dxa"/>
        <w:start w:w="0" w:type="dxa"/>
        <w:bottom w:w="0" w:type="dxa"/>
        <w:end w:w="0" w:type="dxa"/>
      </w:tblCellMar>
    </w:tblPr>
    <w:tblGrid>
      <w:gridCol w:w="2835"/>
      <w:gridCol w:w="5098"/>
      <w:gridCol w:w="2839"/>
    </w:tblGrid>
    <w:tr>
      <w:trPr/>
      <w:tc>
        <w:tcPr>
          <w:tcW w:w="2835" w:type="dxa"/>
          <w:vMerge w:val="restart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  <w:drawing>
              <wp:anchor behindDoc="1" distT="0" distB="0" distL="0" distR="0" simplePos="0" locked="0" layoutInCell="1" allowOverlap="0" relativeHeight="3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325880" cy="417195"/>
                <wp:effectExtent l="0" t="0" r="0" b="0"/>
                <wp:wrapNone/>
                <wp:docPr id="4" name="Obrázek 19 kopie 1" descr="C:\Users\Gabinka\gmarketingdesign\turbonet\logo\logo_turbonet.jpg" titl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ek 19 kopie 1" descr="C:\Users\Gabinka\gmarketingdesign\turbonet\logo\logo_turbonet.jpg" titl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5880" cy="417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center"/>
            <w:rPr>
              <w:rFonts w:ascii="Open Sans" w:hAnsi="Open Sans" w:eastAsia="Times New Roman" w:cs="Times New Roman"/>
              <w:b/>
              <w:bCs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b/>
              <w:bCs/>
              <w:sz w:val="24"/>
              <w:szCs w:val="24"/>
            </w:rPr>
            <w:t>ŠABLONA SHRNUTÍ SMLOUVY</w:t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b/>
              <w:bCs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b/>
              <w:bCs/>
              <w:sz w:val="24"/>
              <w:szCs w:val="24"/>
            </w:rPr>
            <w:t>ISPadmin</w:t>
          </w:r>
        </w:p>
      </w:tc>
    </w:tr>
    <w:tr>
      <w:trPr/>
      <w:tc>
        <w:tcPr>
          <w:tcW w:w="2835" w:type="dxa"/>
          <w:vMerge w:val="continue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start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  <w:t>support@ispadmin.eu</w:t>
          </w:r>
        </w:p>
      </w:tc>
    </w:tr>
    <w:tr>
      <w:trPr/>
      <w:tc>
        <w:tcPr>
          <w:tcW w:w="2835" w:type="dxa"/>
          <w:tcBorders/>
        </w:tcPr>
        <w:p>
          <w:pPr>
            <w:pStyle w:val="Obsahtabulky"/>
            <w:bidi w:val="0"/>
            <w:jc w:val="start"/>
            <w:rPr>
              <w:rFonts w:ascii="Tahoma" w:hAnsi="Tahoma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Tahoma" w:hAnsi="Tahoma"/>
              <w:sz w:val="24"/>
              <w:szCs w:val="24"/>
            </w:rPr>
          </w:r>
        </w:p>
      </w:tc>
      <w:tc>
        <w:tcPr>
          <w:tcW w:w="5098" w:type="dxa"/>
          <w:tcBorders/>
        </w:tcPr>
        <w:p>
          <w:pPr>
            <w:pStyle w:val="Obsahtabulky"/>
            <w:bidi w:val="0"/>
            <w:jc w:val="start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Fonts w:eastAsia="Times New Roman" w:cs="Times New Roman" w:ascii="Open Sans" w:hAnsi="Open Sans"/>
              <w:sz w:val="24"/>
              <w:szCs w:val="24"/>
            </w:rPr>
          </w:r>
        </w:p>
      </w:tc>
      <w:tc>
        <w:tcPr>
          <w:tcW w:w="2839" w:type="dxa"/>
          <w:tcBorders/>
        </w:tcPr>
        <w:p>
          <w:pPr>
            <w:pStyle w:val="Obsahtabulky"/>
            <w:bidi w:val="0"/>
            <w:jc w:val="end"/>
            <w:rPr>
              <w:rFonts w:ascii="Open Sans" w:hAnsi="Open Sans" w:eastAsia="Times New Roman" w:cs="Times New Roman"/>
              <w:sz w:val="24"/>
              <w:szCs w:val="24"/>
            </w:rPr>
          </w:pPr>
          <w:r>
            <w:rPr>
              <w:rStyle w:val="Strong"/>
              <w:rFonts w:eastAsia="Times New Roman" w:cs="Times New Roman" w:ascii="Open Sans" w:hAnsi="Open Sans"/>
              <w:b w:val="false"/>
              <w:bCs w:val="false"/>
              <w:sz w:val="24"/>
              <w:szCs w:val="24"/>
            </w:rPr>
            <w:t>00420 588 887 777</w:t>
          </w:r>
          <w:r>
            <w:rPr>
              <w:rFonts w:eastAsia="Times New Roman" w:cs="Times New Roman" w:ascii="Open Sans" w:hAnsi="Open Sans"/>
              <w:sz w:val="24"/>
              <w:szCs w:val="24"/>
            </w:rPr>
            <w:t xml:space="preserve"> </w:t>
          </w:r>
        </w:p>
      </w:tc>
    </w:tr>
  </w:tbl>
  <w:p>
    <w:pPr>
      <w:pStyle w:val="Normal"/>
      <w:bidi w:val="0"/>
      <w:jc w:val="start"/>
      <w:rPr/>
    </w:pPr>
    <w:r>
      <w:rPr/>
      <w:pict>
        <v:shape id="PowerPlusWaterMarkObject" o:spid="shape_0" adj="10800" fillcolor="silver" stroked="f" o:allowincell="f" style="position:absolute;margin-left:0.1pt;margin-top:238.05pt;width:538.35pt;height:215.6pt;mso-wrap-style:none;v-text-anchor:middle;rotation:315;mso-position-horizontal:center;mso-position-horizontal-relative:margin;mso-position-vertical:center;mso-position-vertical-relative:margin" type="_x0000_t136">
          <v:path textpathok="t"/>
          <v:textpath on="t" fitshape="t" string="VZOR" style="font-family:&quot;Liberation Sans&quot;;font-size:1pt" trim="t"/>
          <v:fill o:detectmouseclick="t" type="solid" color2="#3f3f3f" opacity="0.5"/>
          <v:stroke color="#3465a4" joinstyle="round" endcap="flat"/>
          <w10:wrap type="none"/>
        </v:shape>
      </w:pic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embedTrueTypeFonts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Heading1">
    <w:name w:val="Heading 1"/>
    <w:basedOn w:val="Nadpis"/>
    <w:next w:val="BodyText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Nadpis"/>
    <w:next w:val="BodyText"/>
    <w:qFormat/>
    <w:pPr>
      <w:numPr>
        <w:ilvl w:val="1"/>
        <w:numId w:val="1"/>
      </w:numPr>
      <w:spacing w:before="283" w:after="119"/>
      <w:jc w:val="center"/>
      <w:outlineLvl w:val="1"/>
    </w:pPr>
    <w:rPr>
      <w:rFonts w:ascii="Open Sans" w:hAnsi="Open Sans"/>
      <w:b/>
      <w:bCs/>
      <w:sz w:val="32"/>
      <w:szCs w:val="32"/>
    </w:rPr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Znakypropoznmkupodarou">
    <w:name w:val="Znaky pro poznámku pod čarou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Znakyprovysvtlivky">
    <w:name w:val="Znaky pro vysvětlivky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227" w:after="227"/>
      <w:contextualSpacing/>
      <w:jc w:val="start"/>
    </w:pPr>
    <w:rPr>
      <w:rFonts w:ascii="Open Sans" w:hAnsi="Open Sans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azpat">
    <w:name w:val="Záhlaví a zápatí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Zhlavazpat"/>
    <w:pPr>
      <w:suppressLineNumbers/>
    </w:pPr>
    <w:rPr/>
  </w:style>
  <w:style w:type="paragraph" w:styleId="Standard">
    <w:name w:val="Standard"/>
    <w:qFormat/>
    <w:pPr>
      <w:widowControl/>
      <w:suppressAutoHyphens w:val="true"/>
      <w:overflowPunct w:val="false"/>
      <w:bidi w:val="0"/>
      <w:spacing w:lineRule="auto" w:line="240" w:before="0" w:after="120"/>
      <w:jc w:val="both"/>
    </w:pPr>
    <w:rPr>
      <w:rFonts w:ascii="Tahoma" w:hAnsi="Tahoma" w:eastAsia="Times New Roman" w:cs="Times New Roman"/>
      <w:color w:val="383838"/>
      <w:kern w:val="2"/>
      <w:sz w:val="24"/>
      <w:szCs w:val="24"/>
      <w:lang w:val="cs-CZ" w:eastAsia="cs-CZ" w:bidi="ar-SA"/>
    </w:rPr>
  </w:style>
  <w:style w:type="paragraph" w:styleId="Obsahtabulky">
    <w:name w:val="Obsah tabulky"/>
    <w:basedOn w:val="Normal"/>
    <w:qFormat/>
    <w:pPr>
      <w:widowControl w:val="false"/>
      <w:suppressLineNumbers/>
    </w:pPr>
    <w:rPr/>
  </w:style>
  <w:style w:type="paragraph" w:styleId="Seznambody">
    <w:name w:val="seznam_body"/>
    <w:basedOn w:val="BodyText"/>
    <w:qFormat/>
    <w:pPr>
      <w:spacing w:before="0" w:after="142"/>
      <w:contextualSpacing/>
      <w:jc w:val="start"/>
    </w:pPr>
    <w:rPr>
      <w:rFonts w:ascii="Open Sans" w:hAnsi="Open Sans"/>
    </w:rPr>
  </w:style>
  <w:style w:type="paragraph" w:styleId="FootnoteText">
    <w:name w:val="Footnote Text"/>
    <w:basedOn w:val="Normal"/>
    <w:pPr>
      <w:suppressLineNumbers/>
      <w:ind w:hanging="340" w:start="340"/>
    </w:pPr>
    <w:rPr>
      <w:sz w:val="20"/>
      <w:szCs w:val="20"/>
    </w:rPr>
  </w:style>
  <w:style w:type="paragraph" w:styleId="Footer">
    <w:name w:val="Footer"/>
    <w:basedOn w:val="Zhlavazpat"/>
    <w:pPr>
      <w:suppressLineNumbers/>
      <w:tabs>
        <w:tab w:val="clear" w:pos="4819"/>
        <w:tab w:val="clear" w:pos="9638"/>
        <w:tab w:val="center" w:pos="5386" w:leader="none"/>
        <w:tab w:val="right" w:pos="10772" w:leader="none"/>
      </w:tabs>
    </w:pPr>
    <w:rPr/>
  </w:style>
  <w:style w:type="paragraph" w:styleId="Obsahrmce">
    <w:name w:val="Obsah rámc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internetovaspolecnost.cz/vop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notes" Target="footnotes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notes.xml.rels><?xml version="1.0" encoding="UTF-8"?>
<Relationships xmlns="http://schemas.openxmlformats.org/package/2006/relationships"><Relationship Id="rId1" Type="http://schemas.openxmlformats.org/officeDocument/2006/relationships/hyperlink" Target="https://eur-lex.europa.eu/legal-content/CS/TXT/?uri=OJ%3AL%3A2018%3A321%3ATOC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3349</TotalTime>
  <Application>LibreOffice/24.2.2.2$Windows_X86_64 LibreOffice_project/d56cc158d8a96260b836f100ef4b4ef25d6f1a01</Application>
  <AppVersion>15.0000</AppVersion>
  <Pages>2</Pages>
  <Words>447</Words>
  <Characters>2774</Characters>
  <CharactersWithSpaces>3172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2024-04-17T13:51:30Z</dcterms:created>
  <dc:creator/>
  <dc:description/>
  <dc:language>cs-CZ</dc:language>
  <cp:lastModifiedBy/>
  <dcterms:modified xsi:type="dcterms:W3CDTF">2024-05-17T12:56:52Z</dcterms:modified>
  <cp:revision>45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